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342" w:type="dxa"/>
        <w:jc w:val="center"/>
        <w:tblInd w:w="0" w:type="dxa"/>
        <w:tblBorders>
          <w:top w:val="none" w:color="auto" w:sz="0" w:space="0"/>
          <w:left w:val="none" w:color="auto" w:sz="0" w:space="0"/>
          <w:bottom w:val="thickThinLargeGap" w:color="FF0000" w:sz="24" w:space="0"/>
          <w:right w:val="none" w:color="auto" w:sz="0" w:space="0"/>
          <w:insideH w:val="thinThickLargeGap" w:color="FF0000" w:sz="24" w:space="0"/>
          <w:insideV w:val="thinThickLargeGap" w:color="FF0000" w:sz="18" w:space="0"/>
        </w:tblBorders>
        <w:tblLayout w:type="fixed"/>
        <w:tblCellMar>
          <w:top w:w="0" w:type="dxa"/>
          <w:left w:w="108" w:type="dxa"/>
          <w:bottom w:w="0" w:type="dxa"/>
          <w:right w:w="108" w:type="dxa"/>
        </w:tblCellMar>
      </w:tblPr>
      <w:tblGrid>
        <w:gridCol w:w="10342"/>
      </w:tblGrid>
      <w:tr>
        <w:tblPrEx>
          <w:tblBorders>
            <w:top w:val="none" w:color="auto" w:sz="0" w:space="0"/>
            <w:left w:val="none" w:color="auto" w:sz="0" w:space="0"/>
            <w:bottom w:val="thickThinLargeGap" w:color="FF0000" w:sz="24" w:space="0"/>
            <w:right w:val="none" w:color="auto" w:sz="0" w:space="0"/>
            <w:insideH w:val="thinThickLargeGap" w:color="FF0000" w:sz="24" w:space="0"/>
            <w:insideV w:val="thinThickLargeGap" w:color="FF0000" w:sz="18" w:space="0"/>
          </w:tblBorders>
          <w:tblLayout w:type="fixed"/>
          <w:tblCellMar>
            <w:top w:w="0" w:type="dxa"/>
            <w:left w:w="108" w:type="dxa"/>
            <w:bottom w:w="0" w:type="dxa"/>
            <w:right w:w="108" w:type="dxa"/>
          </w:tblCellMar>
        </w:tblPrEx>
        <w:trPr>
          <w:trHeight w:val="1021" w:hRule="atLeast"/>
          <w:jc w:val="center"/>
        </w:trPr>
        <w:tc>
          <w:tcPr>
            <w:tcW w:w="10342" w:type="dxa"/>
            <w:tcBorders>
              <w:top w:val="nil"/>
              <w:left w:val="nil"/>
              <w:bottom w:val="thinThickMediumGap" w:color="FF0000" w:sz="24" w:space="0"/>
              <w:right w:val="nil"/>
            </w:tcBorders>
            <w:noWrap/>
          </w:tcPr>
          <w:p>
            <w:pPr>
              <w:spacing w:line="1200" w:lineRule="exact"/>
              <w:rPr>
                <w:rFonts w:ascii="方正小标宋_GBK" w:hAnsi="文星标宋" w:eastAsia="方正小标宋_GBK"/>
                <w:color w:val="FF0000"/>
                <w:w w:val="88"/>
                <w:position w:val="6"/>
                <w:sz w:val="76"/>
                <w:szCs w:val="76"/>
              </w:rPr>
            </w:pPr>
            <w:r>
              <w:rPr>
                <w:rFonts w:hint="eastAsia" w:ascii="方正小标宋_GBK" w:hAnsi="宋体" w:eastAsia="方正小标宋_GBK"/>
                <w:color w:val="FF0000"/>
                <w:spacing w:val="-30"/>
                <w:w w:val="50"/>
                <w:sz w:val="84"/>
                <w:szCs w:val="84"/>
              </w:rPr>
              <w:t>青 岛 市 卫 生 健 康 委 员 会 安 全 生 产 委 员 会 办 公 室</w:t>
            </w:r>
          </w:p>
        </w:tc>
      </w:tr>
    </w:tbl>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ascii="方正小标宋_GBK" w:hAnsi="Tahoma" w:eastAsia="方正小标宋_GBK" w:cs="Times New Roman"/>
          <w:kern w:val="0"/>
          <w:sz w:val="44"/>
          <w:szCs w:val="44"/>
        </w:rPr>
      </w:pPr>
    </w:p>
    <w:p>
      <w:pPr>
        <w:keepNext w:val="0"/>
        <w:keepLines w:val="0"/>
        <w:pageBreakBefore w:val="0"/>
        <w:widowControl/>
        <w:kinsoku/>
        <w:wordWrap/>
        <w:overflowPunct/>
        <w:topLinePunct w:val="0"/>
        <w:autoSpaceDE/>
        <w:autoSpaceDN/>
        <w:bidi w:val="0"/>
        <w:adjustRightInd w:val="0"/>
        <w:snapToGrid w:val="0"/>
        <w:spacing w:line="560" w:lineRule="exact"/>
        <w:jc w:val="center"/>
        <w:rPr>
          <w:rFonts w:hint="eastAsia" w:ascii="方正小标宋_GBK" w:hAnsi="Tahoma" w:eastAsia="方正小标宋_GBK" w:cs="Times New Roman"/>
          <w:kern w:val="0"/>
          <w:sz w:val="44"/>
          <w:szCs w:val="44"/>
          <w:lang w:eastAsia="zh-CN"/>
        </w:rPr>
      </w:pPr>
      <w:r>
        <w:rPr>
          <w:rFonts w:hint="eastAsia" w:ascii="方正小标宋_GBK" w:hAnsi="Tahoma" w:eastAsia="方正小标宋_GBK" w:cs="Times New Roman"/>
          <w:kern w:val="0"/>
          <w:sz w:val="44"/>
          <w:szCs w:val="44"/>
        </w:rPr>
        <w:t>青岛市卫生健康委员会安全生产委员会</w:t>
      </w:r>
      <w:r>
        <w:rPr>
          <w:rFonts w:hint="eastAsia" w:ascii="方正小标宋_GBK" w:hAnsi="Tahoma" w:eastAsia="方正小标宋_GBK" w:cs="Times New Roman"/>
          <w:kern w:val="0"/>
          <w:sz w:val="44"/>
          <w:szCs w:val="44"/>
          <w:lang w:eastAsia="zh-CN"/>
        </w:rPr>
        <w:t>办公室</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baseline"/>
        <w:rPr>
          <w:rFonts w:ascii="方正小标宋_GBK" w:hAnsi="Calibri" w:eastAsia="方正小标宋_GBK" w:cs="Times New Roman"/>
          <w:kern w:val="0"/>
          <w:sz w:val="44"/>
          <w:szCs w:val="44"/>
        </w:rPr>
      </w:pPr>
      <w:r>
        <w:rPr>
          <w:rFonts w:hint="eastAsia" w:ascii="方正小标宋_GBK" w:hAnsi="Tahoma" w:eastAsia="方正小标宋_GBK" w:cs="Times New Roman"/>
          <w:kern w:val="0"/>
          <w:sz w:val="44"/>
          <w:szCs w:val="44"/>
        </w:rPr>
        <w:t>关于</w:t>
      </w:r>
      <w:r>
        <w:rPr>
          <w:rFonts w:hint="eastAsia" w:ascii="方正小标宋_GBK" w:hAnsi="Calibri" w:eastAsia="方正小标宋_GBK" w:cs="Times New Roman"/>
          <w:kern w:val="0"/>
          <w:sz w:val="44"/>
          <w:szCs w:val="44"/>
        </w:rPr>
        <w:t>认真贯彻落实习近平总书记重要指示精神全面开展安全生产风险隐患排查整改工作</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baseline"/>
        <w:rPr>
          <w:rFonts w:ascii="方正小标宋_GBK" w:hAnsi="Calibri" w:eastAsia="方正小标宋_GBK" w:cs="Times New Roman"/>
          <w:kern w:val="0"/>
          <w:sz w:val="44"/>
          <w:szCs w:val="44"/>
        </w:rPr>
      </w:pPr>
      <w:r>
        <w:rPr>
          <w:rFonts w:hint="eastAsia" w:ascii="方正小标宋_GBK" w:hAnsi="Calibri" w:eastAsia="方正小标宋_GBK" w:cs="Times New Roman"/>
          <w:kern w:val="0"/>
          <w:sz w:val="44"/>
          <w:szCs w:val="44"/>
        </w:rPr>
        <w:t>的通知</w:t>
      </w:r>
    </w:p>
    <w:p>
      <w:pPr>
        <w:keepNext w:val="0"/>
        <w:keepLines w:val="0"/>
        <w:pageBreakBefore w:val="0"/>
        <w:widowControl/>
        <w:kinsoku/>
        <w:wordWrap/>
        <w:overflowPunct/>
        <w:topLinePunct w:val="0"/>
        <w:autoSpaceDE/>
        <w:autoSpaceDN/>
        <w:bidi w:val="0"/>
        <w:adjustRightInd w:val="0"/>
        <w:snapToGrid w:val="0"/>
        <w:spacing w:line="560" w:lineRule="exact"/>
        <w:jc w:val="center"/>
        <w:rPr>
          <w:rFonts w:ascii="方正小标宋_GBK" w:hAnsi="Tahoma" w:eastAsia="方正小标宋_GBK" w:cs="Times New Roman"/>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jc w:val="both"/>
        <w:rPr>
          <w:rFonts w:ascii="仿宋_GB2312" w:hAnsi="仿宋" w:eastAsia="仿宋_GB2312" w:cs="Times New Roman"/>
          <w:color w:val="000000"/>
          <w:kern w:val="0"/>
          <w:sz w:val="32"/>
          <w:szCs w:val="32"/>
        </w:rPr>
      </w:pPr>
      <w:r>
        <w:rPr>
          <w:rFonts w:hint="eastAsia" w:ascii="仿宋_GB2312" w:hAnsi="ANMKOE+FangSong_GB2312" w:eastAsia="仿宋_GB2312" w:cs="Times New Roman"/>
          <w:kern w:val="0"/>
          <w:sz w:val="32"/>
          <w:szCs w:val="32"/>
        </w:rPr>
        <w:t>各区市、西海岸新区卫生健康局,委属各单位，驻青和民营各医疗卫生机构：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东航“3.21”坠机</w:t>
      </w:r>
      <w:r>
        <w:rPr>
          <w:rFonts w:ascii="仿宋_GB2312" w:hAnsi="宋体" w:eastAsia="仿宋_GB2312" w:cs="Times New Roman"/>
          <w:color w:val="000000"/>
          <w:kern w:val="0"/>
          <w:sz w:val="32"/>
          <w:szCs w:val="32"/>
        </w:rPr>
        <w:t>事故发生后</w:t>
      </w:r>
      <w:r>
        <w:rPr>
          <w:rFonts w:hint="eastAsia" w:ascii="仿宋_GB2312" w:hAnsi="宋体" w:eastAsia="仿宋_GB2312" w:cs="Times New Roman"/>
          <w:color w:val="000000"/>
          <w:kern w:val="0"/>
          <w:sz w:val="32"/>
          <w:szCs w:val="32"/>
        </w:rPr>
        <w:t>，习近平总书记作出重要指示，要求全力组织搜救，妥善处置善后，尽快查明事故原因，举一反三加强民用航空领域安全隐患排查，狠抓责任落实，确保航空运行绝对安全，确保人民生命绝对安全。李克强总理等中央领导同志分别作出重要批示。省委主要领导提出明确要求，进行安排部署。国务院安委会办公室、省政府安委会办公室先后下发通知，要求全面排查整治各行业领域安全隐患，坚决防范事故发生。</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hint="eastAsia"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市委、市政府主要领导也先后作出批示，省委常委、市委书记陆治原批示“各区市各部门各单位要深入贯彻习近平总书记重要指示精神，认真落实李克强总理等中央领导同志批示要求，按照李干杰书记部署安排，提升思想认识，强化责任担当，扎实做好安全隐患排查整治，坚决稳控安全形势，守住安全红线底线。要立即开展民航领域隐患排查，对相关制度规章执行、专业队伍建设、人员操作、设备器械、极端天气应对等，组织开展专项督导检查，发现问题立即整改到位，确保运行绝对安全。要举一反三，全面排查整改，盯紧森林防火、危化品、交通运输、建筑等重点行业领域，抓实抓细隐患排查和应急演练，逐一落实安全处置措施，坚决把隐患扑灭在源头，遏制重特大事故发生。要压紧压实责任，全面落实安全生产责任制，做到守土有责、守土负责、守土尽责。”市委副书记、市长赵豪志批示“请市安委办、各区市各有关部门认真贯彻落实习近平总书记关于东航‘3·21’坠机事故的重要指示和李克强总理重要批示精神，按照干杰书记要求，迅即组织开展各行业安全隐患排查，盯紧矿山、危化品、交通运输等重点领域重点行业，加强安全管理，坚决遏制重特大事故。清明节临近，要压实各级防火紧要期责任，强化野外用火源头管控和应急值守，杜绝人为火灾事故。”</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为认真贯彻落实习近平总书记重要指示和李克强总理等中央领导重要批示精神和省市及市卫健委领导批示要求，举一反三开展全市卫生健康领域安全风险隐患排查整改工作，坚决遏制重特大事故发生，确保</w:t>
      </w:r>
      <w:r>
        <w:rPr>
          <w:rFonts w:hint="eastAsia" w:ascii="仿宋_GB2312" w:hAnsi="仿宋" w:eastAsia="仿宋_GB2312" w:cs="Times New Roman"/>
          <w:color w:val="000000"/>
          <w:kern w:val="0"/>
          <w:sz w:val="32"/>
          <w:szCs w:val="32"/>
        </w:rPr>
        <w:t>全市卫生健康系统安全平稳有序运行，根据青岛市安全生产委员会办公室《关于认真贯彻落实习近平总书记重要指示精神坚决遏制重特大事故的通知》要求，结合我委实际，</w:t>
      </w:r>
      <w:r>
        <w:rPr>
          <w:rFonts w:hint="eastAsia" w:ascii="仿宋_GB2312" w:hAnsi="宋体" w:eastAsia="仿宋_GB2312" w:cs="Times New Roman"/>
          <w:color w:val="000000"/>
          <w:kern w:val="0"/>
          <w:sz w:val="32"/>
          <w:szCs w:val="32"/>
        </w:rPr>
        <w:t>现就有关事宜通知如下：</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jc w:val="left"/>
        <w:textAlignment w:val="baseline"/>
        <w:rPr>
          <w:rFonts w:ascii="黑体" w:hAnsi="黑体" w:eastAsia="黑体" w:cs="Times New Roman"/>
          <w:color w:val="000000"/>
          <w:kern w:val="0"/>
          <w:sz w:val="32"/>
          <w:szCs w:val="32"/>
        </w:rPr>
      </w:pPr>
      <w:r>
        <w:rPr>
          <w:rFonts w:hint="eastAsia" w:ascii="黑体" w:hAnsi="黑体" w:eastAsia="黑体" w:cs="Times New Roman"/>
          <w:color w:val="000000"/>
          <w:kern w:val="0"/>
          <w:sz w:val="32"/>
          <w:szCs w:val="32"/>
        </w:rPr>
        <w:t>以高度的责任感和紧迫感迅速抓好工作落实。</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各单位要深入学习贯彻习近平总书记重要指示精神，迅速把思想和行动统一到国家和省市关于安全生产的决策部署上来，牢固树立“人民至上、生命至上”理念，坚决扛起保安全护稳定的政治责任，以实际行动和实际效果践行“两个维护”。各单位领导干部要清醒认识当前疫情冲击下影响安全生产的不稳定不确定因素明显增多的实际，深入研判重大项目集中开工、季节性交替等带来的安全风险，及时采取针对性防范措施，严密防范事故发生。要坚持“事故可防、风险可控”理念，将别人的事故当成自己的事故来对待，将别人的教训当成自己的教训来吸取，切实克服长期不发生事故滋生的麻痹思想和侥幸心理。</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jc w:val="left"/>
        <w:textAlignment w:val="baseline"/>
        <w:rPr>
          <w:rFonts w:ascii="黑体" w:hAnsi="黑体" w:eastAsia="黑体" w:cs="Times New Roman"/>
          <w:color w:val="000000"/>
          <w:kern w:val="0"/>
          <w:sz w:val="32"/>
          <w:szCs w:val="32"/>
        </w:rPr>
      </w:pPr>
      <w:r>
        <w:rPr>
          <w:rFonts w:hint="eastAsia" w:ascii="黑体" w:hAnsi="黑体" w:eastAsia="黑体" w:cs="Times New Roman"/>
          <w:color w:val="000000"/>
          <w:kern w:val="0"/>
          <w:sz w:val="32"/>
          <w:szCs w:val="32"/>
        </w:rPr>
        <w:t>立即开展安全隐患排查整治。</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各单位要以安全生产专项整治三年行动为抓手，以查风险、除隐患、防事故为目标，立即组织开展一次全面系统的安全生产风险隐患排查整改工作，排查整改工作务必涵盖消防安全、危险化学品安全、电气线路安全、燃气安全、建筑安全、特种设备及有线空间作业安全等各个方面，全部环节，建立安全生产风险隐患台账，对发现的隐患要加快整改进度，实施清单化闭环管理。要特别关注疫情定点医院、方舱医院、集中隔离点和高层建筑、学生及职工宿舍、出租房屋、外设机构、“多合一”等场所的火灾隐患排查，坚决整治电动自行车进楼入户等突出隐患，要采取坚决有力措施，边排查、边整改、边提升。市卫健委将组织专项检查组结合前期督导检查发现的突出问题和本次通知要求对各单位落实情况进行检查。</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jc w:val="left"/>
        <w:textAlignment w:val="baseline"/>
        <w:rPr>
          <w:rFonts w:ascii="黑体" w:hAnsi="黑体" w:eastAsia="黑体" w:cs="Times New Roman"/>
          <w:color w:val="000000"/>
          <w:kern w:val="0"/>
          <w:sz w:val="32"/>
          <w:szCs w:val="32"/>
        </w:rPr>
      </w:pPr>
      <w:r>
        <w:rPr>
          <w:rFonts w:hint="eastAsia" w:ascii="黑体" w:hAnsi="黑体" w:eastAsia="黑体" w:cs="Times New Roman"/>
          <w:color w:val="000000"/>
          <w:kern w:val="0"/>
          <w:sz w:val="32"/>
          <w:szCs w:val="32"/>
        </w:rPr>
        <w:t>时刻做好应急准备。</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baseline"/>
        <w:rPr>
          <w:rFonts w:ascii="仿宋_GB2312" w:hAnsi="宋体" w:eastAsia="仿宋_GB2312" w:cs="Times New Roman"/>
          <w:color w:val="000000"/>
          <w:kern w:val="0"/>
          <w:sz w:val="32"/>
          <w:szCs w:val="32"/>
        </w:rPr>
      </w:pPr>
      <w:r>
        <w:rPr>
          <w:rFonts w:hint="eastAsia" w:ascii="仿宋_GB2312" w:hAnsi="宋体" w:eastAsia="仿宋_GB2312" w:cs="Times New Roman"/>
          <w:color w:val="000000"/>
          <w:kern w:val="0"/>
          <w:sz w:val="32"/>
          <w:szCs w:val="32"/>
        </w:rPr>
        <w:t>各单位要针对春季气温波动大、各类灾害多发的特点，加强会商研判和隐患排查，及时发布预警信息。严格落实领导干部24小时带班要求，重点时段确保应急力量在岗在位，消防救援队伍重点时段加强值班备勤。严格落实事故报告制度，事故发生后按规定上报，坚决杜绝迟报、瞒报、谎报现象。加强安全生产舆情监控，及时主动回应社会关切，正确引导舆论。做好队伍、装备、物资等应急准备，确保遇有紧急情况能够第一时间出动，做到精准有效地应对，最大程度减轻事故造成的损失。</w:t>
      </w:r>
    </w:p>
    <w:p>
      <w:pPr>
        <w:keepNext w:val="0"/>
        <w:keepLines w:val="0"/>
        <w:pageBreakBefore w:val="0"/>
        <w:kinsoku/>
        <w:wordWrap/>
        <w:overflowPunct/>
        <w:topLinePunct w:val="0"/>
        <w:autoSpaceDE/>
        <w:autoSpaceDN/>
        <w:bidi w:val="0"/>
        <w:adjustRightInd w:val="0"/>
        <w:snapToGrid w:val="0"/>
        <w:spacing w:line="560" w:lineRule="exact"/>
        <w:ind w:left="420" w:leftChars="200" w:firstLine="1600" w:firstLineChars="500"/>
        <w:rPr>
          <w:rFonts w:ascii="仿宋_GB2312" w:hAnsi="仿宋" w:eastAsia="仿宋_GB2312" w:cs="Times New Roman"/>
          <w:color w:val="000000"/>
          <w:sz w:val="32"/>
          <w:szCs w:val="32"/>
          <w:lang w:val="en-US" w:eastAsia="zh-CN" w:bidi="ar-SA"/>
        </w:rPr>
      </w:pPr>
    </w:p>
    <w:p>
      <w:pPr>
        <w:pStyle w:val="2"/>
        <w:rPr>
          <w:lang w:val="en-US" w:eastAsia="zh-CN"/>
        </w:rPr>
      </w:pPr>
      <w:bookmarkStart w:id="0" w:name="_GoBack"/>
      <w:bookmarkEnd w:id="0"/>
    </w:p>
    <w:p>
      <w:pPr>
        <w:keepNext w:val="0"/>
        <w:keepLines w:val="0"/>
        <w:pageBreakBefore w:val="0"/>
        <w:kinsoku/>
        <w:wordWrap/>
        <w:overflowPunct/>
        <w:topLinePunct w:val="0"/>
        <w:autoSpaceDE/>
        <w:autoSpaceDN/>
        <w:bidi w:val="0"/>
        <w:adjustRightInd w:val="0"/>
        <w:snapToGrid w:val="0"/>
        <w:spacing w:line="560" w:lineRule="exact"/>
        <w:ind w:firstLine="1600" w:firstLineChars="500"/>
        <w:rPr>
          <w:rFonts w:ascii="仿宋_GB2312" w:hAnsi="仿宋" w:eastAsia="仿宋_GB2312" w:cs="Times New Roman"/>
          <w:color w:val="000000"/>
          <w:sz w:val="32"/>
          <w:szCs w:val="32"/>
          <w:lang w:val="en-US" w:eastAsia="zh-CN" w:bidi="ar-SA"/>
        </w:rPr>
      </w:pPr>
      <w:r>
        <w:rPr>
          <w:rFonts w:hint="eastAsia" w:ascii="仿宋_GB2312" w:hAnsi="仿宋" w:eastAsia="仿宋_GB2312" w:cs="Times New Roman"/>
          <w:color w:val="000000"/>
          <w:sz w:val="32"/>
          <w:szCs w:val="32"/>
          <w:lang w:val="en-US" w:eastAsia="zh-CN" w:bidi="ar-SA"/>
        </w:rPr>
        <w:t>青岛市卫生健康委员会安全生产委员会办公室</w:t>
      </w:r>
    </w:p>
    <w:p>
      <w:pPr>
        <w:keepNext w:val="0"/>
        <w:keepLines w:val="0"/>
        <w:pageBreakBefore w:val="0"/>
        <w:kinsoku/>
        <w:wordWrap/>
        <w:overflowPunct/>
        <w:topLinePunct w:val="0"/>
        <w:autoSpaceDE/>
        <w:autoSpaceDN/>
        <w:bidi w:val="0"/>
        <w:adjustRightInd w:val="0"/>
        <w:snapToGrid w:val="0"/>
        <w:spacing w:line="560" w:lineRule="exact"/>
        <w:ind w:firstLine="3520" w:firstLineChars="1100"/>
        <w:rPr>
          <w:rFonts w:ascii="仿宋_GB2312" w:hAnsi="仿宋" w:eastAsia="仿宋_GB2312" w:cs="Times New Roman"/>
          <w:color w:val="000000"/>
          <w:sz w:val="32"/>
          <w:szCs w:val="32"/>
          <w:lang w:val="en-US" w:eastAsia="zh-CN" w:bidi="ar-SA"/>
        </w:rPr>
      </w:pPr>
      <w:r>
        <w:rPr>
          <w:rFonts w:hint="eastAsia" w:ascii="仿宋_GB2312" w:hAnsi="仿宋" w:eastAsia="仿宋_GB2312" w:cs="Times New Roman"/>
          <w:color w:val="000000"/>
          <w:sz w:val="32"/>
          <w:szCs w:val="32"/>
          <w:lang w:val="en-US" w:eastAsia="zh-CN" w:bidi="ar-SA"/>
        </w:rPr>
        <w:t>2022年3月29日</w:t>
      </w:r>
    </w:p>
    <w:p>
      <w:pPr>
        <w:pStyle w:val="5"/>
        <w:keepNext w:val="0"/>
        <w:keepLines w:val="0"/>
        <w:pageBreakBefore w:val="0"/>
        <w:kinsoku/>
        <w:wordWrap/>
        <w:overflowPunct/>
        <w:topLinePunct w:val="0"/>
        <w:bidi w:val="0"/>
        <w:spacing w:after="0" w:line="560" w:lineRule="exact"/>
        <w:ind w:left="0" w:leftChars="0" w:firstLine="0" w:firstLineChars="0"/>
        <w:rPr>
          <w:rFonts w:ascii="黑体" w:hAnsi="黑体" w:eastAsia="黑体" w:cs="黑体"/>
          <w:sz w:val="32"/>
          <w:szCs w:val="32"/>
        </w:rPr>
      </w:pPr>
    </w:p>
    <w:p>
      <w:pPr>
        <w:keepNext w:val="0"/>
        <w:keepLines w:val="0"/>
        <w:pageBreakBefore w:val="0"/>
        <w:kinsoku/>
        <w:wordWrap/>
        <w:overflowPunct/>
        <w:topLinePunct w:val="0"/>
        <w:bidi w:val="0"/>
        <w:jc w:val="center"/>
        <w:rPr>
          <w:rFonts w:hint="eastAsia" w:eastAsiaTheme="minorEastAsia"/>
          <w:sz w:val="36"/>
          <w:szCs w:val="36"/>
          <w:lang w:val="en-US" w:eastAsia="zh-Hans"/>
        </w:rPr>
      </w:pPr>
    </w:p>
    <w:sectPr>
      <w:pgSz w:w="11906" w:h="16838"/>
      <w:pgMar w:top="2098" w:right="1474" w:bottom="1984"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auto"/>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NMKOE+FangSong_GB2312">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5A640E"/>
    <w:multiLevelType w:val="singleLevel"/>
    <w:tmpl w:val="885A640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7EF8424"/>
    <w:rsid w:val="079802F3"/>
    <w:rsid w:val="08C5051D"/>
    <w:rsid w:val="0CEA4809"/>
    <w:rsid w:val="0D9F7A4A"/>
    <w:rsid w:val="1EB24F58"/>
    <w:rsid w:val="25ED6AB9"/>
    <w:rsid w:val="28FA5BE0"/>
    <w:rsid w:val="30C714A3"/>
    <w:rsid w:val="32AB519A"/>
    <w:rsid w:val="32E54350"/>
    <w:rsid w:val="343D181F"/>
    <w:rsid w:val="36012D4C"/>
    <w:rsid w:val="42C26988"/>
    <w:rsid w:val="4DDC225D"/>
    <w:rsid w:val="5D6125AD"/>
    <w:rsid w:val="6D586C89"/>
    <w:rsid w:val="6D6524BC"/>
    <w:rsid w:val="7E664BA0"/>
    <w:rsid w:val="D7EF8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Normal Indent"/>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4">
    <w:name w:val="Body Text Indent"/>
    <w:next w:val="3"/>
    <w:unhideWhenUsed/>
    <w:uiPriority w:val="99"/>
    <w:pPr>
      <w:widowControl w:val="0"/>
      <w:spacing w:after="120"/>
      <w:ind w:left="420" w:leftChars="200"/>
      <w:jc w:val="both"/>
    </w:pPr>
    <w:rPr>
      <w:rFonts w:asciiTheme="minorHAnsi" w:hAnsiTheme="minorHAnsi" w:eastAsiaTheme="minorEastAsia" w:cstheme="minorBidi"/>
      <w:kern w:val="2"/>
      <w:sz w:val="21"/>
      <w:szCs w:val="24"/>
      <w:lang w:val="en-US" w:eastAsia="zh-CN" w:bidi="ar-SA"/>
    </w:rPr>
  </w:style>
  <w:style w:type="paragraph" w:styleId="5">
    <w:name w:val="Body Text First Indent 2"/>
    <w:unhideWhenUsed/>
    <w:qFormat/>
    <w:uiPriority w:val="99"/>
    <w:pPr>
      <w:widowControl w:val="0"/>
      <w:autoSpaceDE w:val="0"/>
      <w:autoSpaceDN w:val="0"/>
      <w:adjustRightInd w:val="0"/>
      <w:spacing w:after="120"/>
      <w:ind w:left="420" w:leftChars="200" w:firstLine="420" w:firstLineChars="200"/>
      <w:jc w:val="left"/>
    </w:pPr>
    <w:rPr>
      <w:rFonts w:asciiTheme="minorHAnsi" w:hAnsiTheme="minorHAnsi" w:eastAsiaTheme="minorEastAsia" w:cstheme="minorBidi"/>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2022-03-10T19:27:00Z</dcterms:created>
  <dc:creator>xujianping</dc:creator>
  <cp:lastModifiedBy>徐洁</cp:lastModifiedBy>
  <dcterms:modified xsi:type="dcterms:W3CDTF">2022-03-29T08:10:24Z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